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B2" w:rsidRDefault="002A7FB2" w:rsidP="002A7FB2">
      <w:pPr>
        <w:pStyle w:val="Balk2"/>
        <w:rPr>
          <w:rFonts w:eastAsiaTheme="minorHAnsi"/>
        </w:rPr>
      </w:pPr>
      <w:r>
        <w:rPr>
          <w:rFonts w:eastAsiaTheme="minorHAnsi"/>
        </w:rPr>
        <w:t>Apply now for the Specialisation Course on The Exercise of Defence Rights in International Investigations within the EU, Siracusa, March 15-17, 2018</w:t>
      </w:r>
    </w:p>
    <w:p w:rsidR="002A7FB2" w:rsidRDefault="002A7FB2" w:rsidP="002A7FB2">
      <w:pPr>
        <w:pStyle w:val="NormalWeb"/>
        <w:jc w:val="both"/>
      </w:pPr>
      <w:r>
        <w:t>Applications are open for the Specialisation Course on “</w:t>
      </w:r>
      <w:hyperlink r:id="rId6" w:history="1">
        <w:r>
          <w:rPr>
            <w:rStyle w:val="Vurgu"/>
            <w:b/>
            <w:bCs/>
            <w:color w:val="0D334E"/>
          </w:rPr>
          <w:t>The Exercise of Defence Rights in International Investigations within the European Union</w:t>
        </w:r>
      </w:hyperlink>
      <w:r>
        <w:rPr>
          <w:rStyle w:val="Vurgu"/>
        </w:rPr>
        <w:t>”</w:t>
      </w:r>
      <w:r>
        <w:t>, which will be held from </w:t>
      </w:r>
      <w:r>
        <w:rPr>
          <w:rStyle w:val="Gl"/>
        </w:rPr>
        <w:t>15-17 March 2018</w:t>
      </w:r>
      <w:r>
        <w:t> at the Siracusa International Institute for Criminal Justice and Human Rights’ headquarters in Siracusa, Italy (a UNESCO World Heritage Site).</w:t>
      </w:r>
    </w:p>
    <w:p w:rsidR="002A7FB2" w:rsidRDefault="002A7FB2" w:rsidP="002A7FB2">
      <w:pPr>
        <w:pStyle w:val="NormalWeb"/>
        <w:jc w:val="both"/>
      </w:pPr>
      <w:r>
        <w:t>This Specialisation Course is part of the </w:t>
      </w:r>
      <w:hyperlink r:id="rId7" w:history="1">
        <w:r>
          <w:rPr>
            <w:rStyle w:val="Kpr"/>
            <w:b/>
            <w:bCs/>
            <w:color w:val="0D334E"/>
          </w:rPr>
          <w:t>I</w:t>
        </w:r>
      </w:hyperlink>
      <w:hyperlink r:id="rId8" w:history="1">
        <w:r>
          <w:rPr>
            <w:rStyle w:val="Kpr"/>
            <w:b/>
            <w:bCs/>
            <w:color w:val="0D334E"/>
          </w:rPr>
          <w:t>nternational Defence Counsel Training Programme</w:t>
        </w:r>
      </w:hyperlink>
      <w:r>
        <w:t>. Launched in 2017 by the Siracusa International Institute, it is the first multifaceted and globally-oriented programme specifically designed for </w:t>
      </w:r>
      <w:r>
        <w:rPr>
          <w:rStyle w:val="Gl"/>
        </w:rPr>
        <w:t>international defence lawyers, in-house counsel and jurists</w:t>
      </w:r>
      <w:r>
        <w:t> dealing with cases related to international crimes before national an d international jurisdictions, including crimes of a transnational nature.</w:t>
      </w:r>
    </w:p>
    <w:p w:rsidR="002A7FB2" w:rsidRDefault="002A7FB2" w:rsidP="002A7FB2">
      <w:pPr>
        <w:pStyle w:val="NormalWeb"/>
        <w:jc w:val="both"/>
      </w:pPr>
      <w:r>
        <w:t>The Specialisation Course on “</w:t>
      </w:r>
      <w:hyperlink r:id="rId9" w:history="1">
        <w:r>
          <w:rPr>
            <w:rStyle w:val="Kpr"/>
            <w:i/>
            <w:iCs/>
            <w:color w:val="0D334E"/>
          </w:rPr>
          <w:t>The Exercise of Defence Rights in International Investigations within the European Union</w:t>
        </w:r>
      </w:hyperlink>
      <w:r>
        <w:t>”  is designed for national lawyers, in-house counsel, and international legal practitioners appointed to defend clients in criminal cases that may be covered by legislation created or inspired by the European Union.  It will analyse the roles and responsibilities of the international and national regulatory, enforcement and supervisory bodies in this field.  The Course will also focus on </w:t>
      </w:r>
      <w:r>
        <w:rPr>
          <w:rStyle w:val="Gl"/>
        </w:rPr>
        <w:t>defence techniques for internatio nal legal cooperation in European Criminal Law matters,</w:t>
      </w:r>
      <w:r>
        <w:t> mutual recognition of judicial decisions, instruments like the European Investigation Order, the European Arrest Warrant and the role of Eurojust and Europol.</w:t>
      </w:r>
    </w:p>
    <w:p w:rsidR="002A7FB2" w:rsidRDefault="002A7FB2" w:rsidP="002A7FB2">
      <w:pPr>
        <w:pStyle w:val="NormalWeb"/>
      </w:pPr>
      <w:r>
        <w:rPr>
          <w:rStyle w:val="Gl"/>
        </w:rPr>
        <w:t>The Course will tackle the following main topics</w:t>
      </w:r>
      <w:r>
        <w:t>:</w:t>
      </w:r>
    </w:p>
    <w:p w:rsidR="002A7FB2" w:rsidRDefault="002A7FB2" w:rsidP="002A7FB2">
      <w:pPr>
        <w:numPr>
          <w:ilvl w:val="0"/>
          <w:numId w:val="1"/>
        </w:numPr>
        <w:spacing w:before="100" w:beforeAutospacing="1" w:after="100" w:afterAutospacing="1"/>
        <w:ind w:left="0"/>
        <w:jc w:val="both"/>
      </w:pPr>
      <w:r>
        <w:rPr>
          <w:rStyle w:val="Vurgu"/>
        </w:rPr>
        <w:t>The European Criminal Law Framework;</w:t>
      </w:r>
    </w:p>
    <w:p w:rsidR="002A7FB2" w:rsidRDefault="002A7FB2" w:rsidP="002A7FB2">
      <w:pPr>
        <w:numPr>
          <w:ilvl w:val="0"/>
          <w:numId w:val="1"/>
        </w:numPr>
        <w:spacing w:before="100" w:beforeAutospacing="1" w:after="100" w:afterAutospacing="1"/>
        <w:ind w:left="0"/>
        <w:jc w:val="both"/>
      </w:pPr>
      <w:r>
        <w:rPr>
          <w:rStyle w:val="Vurgu"/>
        </w:rPr>
        <w:t>The Sources of European Criminal Law;</w:t>
      </w:r>
    </w:p>
    <w:p w:rsidR="002A7FB2" w:rsidRDefault="002A7FB2" w:rsidP="002A7FB2">
      <w:pPr>
        <w:numPr>
          <w:ilvl w:val="0"/>
          <w:numId w:val="1"/>
        </w:numPr>
        <w:spacing w:before="100" w:beforeAutospacing="1" w:after="100" w:afterAutospacing="1"/>
        <w:ind w:left="0"/>
        <w:jc w:val="both"/>
      </w:pPr>
      <w:r>
        <w:rPr>
          <w:rStyle w:val="Vurgu"/>
        </w:rPr>
        <w:t>Main Actors in European Criminal Law;</w:t>
      </w:r>
    </w:p>
    <w:p w:rsidR="002A7FB2" w:rsidRDefault="002A7FB2" w:rsidP="002A7FB2">
      <w:pPr>
        <w:numPr>
          <w:ilvl w:val="0"/>
          <w:numId w:val="1"/>
        </w:numPr>
        <w:spacing w:before="100" w:beforeAutospacing="1" w:after="100" w:afterAutospacing="1"/>
        <w:ind w:left="0"/>
        <w:jc w:val="both"/>
      </w:pPr>
      <w:r>
        <w:rPr>
          <w:rStyle w:val="Vurgu"/>
        </w:rPr>
        <w:t>Defence Rights and the Harmonisation of National Criminal Laws;</w:t>
      </w:r>
    </w:p>
    <w:p w:rsidR="002A7FB2" w:rsidRDefault="002A7FB2" w:rsidP="002A7FB2">
      <w:pPr>
        <w:numPr>
          <w:ilvl w:val="0"/>
          <w:numId w:val="1"/>
        </w:numPr>
        <w:spacing w:before="100" w:beforeAutospacing="1" w:after="100" w:afterAutospacing="1"/>
        <w:ind w:left="0"/>
        <w:jc w:val="both"/>
      </w:pPr>
      <w:r>
        <w:rPr>
          <w:rStyle w:val="Vurgu"/>
        </w:rPr>
        <w:t>Procedural Elements and Instruments of European Criminal Law;</w:t>
      </w:r>
    </w:p>
    <w:p w:rsidR="002A7FB2" w:rsidRDefault="002A7FB2" w:rsidP="002A7FB2">
      <w:pPr>
        <w:numPr>
          <w:ilvl w:val="0"/>
          <w:numId w:val="1"/>
        </w:numPr>
        <w:spacing w:before="100" w:beforeAutospacing="1" w:after="100" w:afterAutospacing="1"/>
        <w:ind w:left="0"/>
        <w:jc w:val="both"/>
      </w:pPr>
      <w:r>
        <w:rPr>
          <w:rStyle w:val="Vurgu"/>
        </w:rPr>
        <w:t>Defence Rights and the European Investigation Order;</w:t>
      </w:r>
    </w:p>
    <w:p w:rsidR="002A7FB2" w:rsidRDefault="002A7FB2" w:rsidP="002A7FB2">
      <w:pPr>
        <w:numPr>
          <w:ilvl w:val="0"/>
          <w:numId w:val="1"/>
        </w:numPr>
        <w:spacing w:before="100" w:beforeAutospacing="1" w:after="100" w:afterAutospacing="1"/>
        <w:ind w:left="0"/>
        <w:jc w:val="both"/>
      </w:pPr>
      <w:r>
        <w:rPr>
          <w:rStyle w:val="Vurgu"/>
        </w:rPr>
        <w:t>Defence Rights and the European Arrest Warrant;</w:t>
      </w:r>
    </w:p>
    <w:p w:rsidR="002A7FB2" w:rsidRDefault="002A7FB2" w:rsidP="002A7FB2">
      <w:pPr>
        <w:numPr>
          <w:ilvl w:val="0"/>
          <w:numId w:val="1"/>
        </w:numPr>
        <w:spacing w:before="100" w:beforeAutospacing="1" w:after="100" w:afterAutospacing="1"/>
        <w:ind w:left="0"/>
        <w:jc w:val="both"/>
      </w:pPr>
      <w:r>
        <w:rPr>
          <w:rStyle w:val="Vurgu"/>
        </w:rPr>
        <w:t>Defence Rights and the Execution of Decisions and Sentences;</w:t>
      </w:r>
    </w:p>
    <w:p w:rsidR="002A7FB2" w:rsidRDefault="002A7FB2" w:rsidP="002A7FB2">
      <w:pPr>
        <w:numPr>
          <w:ilvl w:val="0"/>
          <w:numId w:val="1"/>
        </w:numPr>
        <w:spacing w:before="100" w:beforeAutospacing="1" w:after="100" w:afterAutospacing="1"/>
        <w:ind w:left="0"/>
        <w:jc w:val="both"/>
      </w:pPr>
      <w:r>
        <w:rPr>
          <w:rStyle w:val="Vurgu"/>
        </w:rPr>
        <w:t>Eurojust, Europol, and the European Public Prosecutor Office;</w:t>
      </w:r>
    </w:p>
    <w:p w:rsidR="002A7FB2" w:rsidRDefault="002A7FB2" w:rsidP="002A7FB2">
      <w:pPr>
        <w:numPr>
          <w:ilvl w:val="0"/>
          <w:numId w:val="1"/>
        </w:numPr>
        <w:spacing w:before="100" w:beforeAutospacing="1" w:after="100" w:afterAutospacing="1"/>
        <w:ind w:left="0"/>
        <w:jc w:val="both"/>
      </w:pPr>
      <w:r>
        <w:rPr>
          <w:rStyle w:val="Vurgu"/>
        </w:rPr>
        <w:t>Future Developments of European Criminal Law.</w:t>
      </w:r>
    </w:p>
    <w:p w:rsidR="002A7FB2" w:rsidRDefault="002A7FB2" w:rsidP="002A7FB2">
      <w:pPr>
        <w:pStyle w:val="NormalWeb"/>
      </w:pPr>
      <w:r>
        <w:t> </w:t>
      </w:r>
    </w:p>
    <w:p w:rsidR="002A7FB2" w:rsidRDefault="002A7FB2" w:rsidP="002A7FB2">
      <w:pPr>
        <w:pStyle w:val="NormalWeb"/>
      </w:pPr>
      <w:r>
        <w:t>To apply for this course, and for details on the entire Programme, please visit our dedicated website:</w:t>
      </w:r>
    </w:p>
    <w:p w:rsidR="002A7FB2" w:rsidRDefault="002A7FB2" w:rsidP="002A7FB2">
      <w:pPr>
        <w:pStyle w:val="NormalWeb"/>
      </w:pPr>
      <w:hyperlink r:id="rId10" w:history="1">
        <w:r>
          <w:rPr>
            <w:rStyle w:val="Kpr"/>
            <w:b/>
            <w:bCs/>
            <w:color w:val="0D334E"/>
          </w:rPr>
          <w:t>http://internationaldefencecounsel.siracusainstitute.org/cms/index.php</w:t>
        </w:r>
      </w:hyperlink>
    </w:p>
    <w:p w:rsidR="009F1093" w:rsidRDefault="009F1093">
      <w:bookmarkStart w:id="0" w:name="_GoBack"/>
      <w:bookmarkEnd w:id="0"/>
    </w:p>
    <w:sectPr w:rsidR="009F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5C8E"/>
    <w:multiLevelType w:val="multilevel"/>
    <w:tmpl w:val="FEB88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B2"/>
    <w:rsid w:val="002A7FB2"/>
    <w:rsid w:val="009F1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B2"/>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semiHidden/>
    <w:unhideWhenUsed/>
    <w:qFormat/>
    <w:rsid w:val="002A7FB2"/>
    <w:pPr>
      <w:spacing w:before="100" w:beforeAutospacing="1" w:after="100" w:afterAutospacing="1"/>
      <w:outlineLvl w:val="1"/>
    </w:pPr>
    <w:rPr>
      <w:rFonts w:eastAsia="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A7FB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A7FB2"/>
    <w:rPr>
      <w:color w:val="0000FF"/>
      <w:u w:val="single"/>
    </w:rPr>
  </w:style>
  <w:style w:type="paragraph" w:styleId="NormalWeb">
    <w:name w:val="Normal (Web)"/>
    <w:basedOn w:val="Normal"/>
    <w:uiPriority w:val="99"/>
    <w:semiHidden/>
    <w:unhideWhenUsed/>
    <w:rsid w:val="002A7FB2"/>
    <w:pPr>
      <w:spacing w:before="100" w:beforeAutospacing="1" w:after="100" w:afterAutospacing="1"/>
    </w:pPr>
  </w:style>
  <w:style w:type="character" w:styleId="Vurgu">
    <w:name w:val="Emphasis"/>
    <w:basedOn w:val="VarsaylanParagrafYazTipi"/>
    <w:uiPriority w:val="20"/>
    <w:qFormat/>
    <w:rsid w:val="002A7FB2"/>
    <w:rPr>
      <w:i/>
      <w:iCs/>
    </w:rPr>
  </w:style>
  <w:style w:type="character" w:styleId="Gl">
    <w:name w:val="Strong"/>
    <w:basedOn w:val="VarsaylanParagrafYazTipi"/>
    <w:uiPriority w:val="22"/>
    <w:qFormat/>
    <w:rsid w:val="002A7F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B2"/>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
    <w:semiHidden/>
    <w:unhideWhenUsed/>
    <w:qFormat/>
    <w:rsid w:val="002A7FB2"/>
    <w:pPr>
      <w:spacing w:before="100" w:beforeAutospacing="1" w:after="100" w:afterAutospacing="1"/>
      <w:outlineLvl w:val="1"/>
    </w:pPr>
    <w:rPr>
      <w:rFonts w:eastAsia="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A7FB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A7FB2"/>
    <w:rPr>
      <w:color w:val="0000FF"/>
      <w:u w:val="single"/>
    </w:rPr>
  </w:style>
  <w:style w:type="paragraph" w:styleId="NormalWeb">
    <w:name w:val="Normal (Web)"/>
    <w:basedOn w:val="Normal"/>
    <w:uiPriority w:val="99"/>
    <w:semiHidden/>
    <w:unhideWhenUsed/>
    <w:rsid w:val="002A7FB2"/>
    <w:pPr>
      <w:spacing w:before="100" w:beforeAutospacing="1" w:after="100" w:afterAutospacing="1"/>
    </w:pPr>
  </w:style>
  <w:style w:type="character" w:styleId="Vurgu">
    <w:name w:val="Emphasis"/>
    <w:basedOn w:val="VarsaylanParagrafYazTipi"/>
    <w:uiPriority w:val="20"/>
    <w:qFormat/>
    <w:rsid w:val="002A7FB2"/>
    <w:rPr>
      <w:i/>
      <w:iCs/>
    </w:rPr>
  </w:style>
  <w:style w:type="character" w:styleId="Gl">
    <w:name w:val="Strong"/>
    <w:basedOn w:val="VarsaylanParagrafYazTipi"/>
    <w:uiPriority w:val="22"/>
    <w:qFormat/>
    <w:rsid w:val="002A7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27o.mj.am/lnk/AEQASc9dj7oAAAAAAAAAAFnDvc0AAAAAAAIAAAAAAANncwBaIFbc-PMDDAi0TPSwwFYCSiZeswADQnM/3/Z4g9CvU7Emo4ljnh72gxFg/aHR0cDovL2ludGVybmF0aW9uYWxkZWZlbmNlY291bnNlbC5zaXJhY3VzYWluc3RpdHV0ZS5vcmcv" TargetMode="External"/><Relationship Id="rId3" Type="http://schemas.microsoft.com/office/2007/relationships/stylesWithEffects" Target="stylesWithEffects.xml"/><Relationship Id="rId7" Type="http://schemas.openxmlformats.org/officeDocument/2006/relationships/hyperlink" Target="http://p27o.mj.am/lnk/AEQASc9dj7oAAAAAAAAAAFnDvc0AAAAAAAIAAAAAAANncwBaIFbc-PMDDAi0TPSwwFYCSiZeswADQnM/2/q0yHaRB7FzirCa25QF45XA/aHR0cDovL2ludGVybmF0aW9uYWxkZWZlbmNlY291bnNlbC5zaXJhY3VzYWluc3RpdHV0ZS5vcmc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27o.mj.am/lnk/AEQASc9dj7oAAAAAAAAAAFnDvc0AAAAAAAIAAAAAAANncwBaIFbc-PMDDAi0TPSwwFYCSiZeswADQnM/1/XSEydDjm8wCwl_Q0i4MMEA/aHR0cDovL2ludGVybmF0aW9uYWxkZWZlbmNlY291bnNlbC5zaXJhY3VzYWluc3RpdHV0ZS5vcmcvY21zL2luZGV4LnBocC9jb21wb25lbnQvc3BsbXMvY291cnNlL3RoZS1leGVyY2lzZS1vZi1kZWZlbmNlLXJpZ2h0cy1pbi1pbnRlcm5hdGlvbmFsLWl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27o.mj.am/lnk/AEQASc9dj7oAAAAAAAAAAFnDvc0AAAAAAAIAAAAAAANncwBaIFbc-PMDDAi0TPSwwFYCSiZeswADQnM/5/tr7fNBTEYTm43s_aH1gRaQ/aHR0cDovL2ludGVybmF0aW9uYWxkZWZlbmNlY291bnNlbC5zaXJhY3VzYWluc3RpdHV0ZS5vcmcvY21zL2luZGV4LnBocA" TargetMode="External"/><Relationship Id="rId4" Type="http://schemas.openxmlformats.org/officeDocument/2006/relationships/settings" Target="settings.xml"/><Relationship Id="rId9" Type="http://schemas.openxmlformats.org/officeDocument/2006/relationships/hyperlink" Target="http://p27o.mj.am/lnk/AEQASc9dj7oAAAAAAAAAAFnDvc0AAAAAAAIAAAAAAANncwBaIFbc-PMDDAi0TPSwwFYCSiZeswADQnM/4/17IfB40hEiL0-tJ_IGgTfA/aHR0cDovL2ludGVybmF0aW9uYWxkZWZlbmNlY291bnNlbC5zaXJhY3VzYWluc3RpdHV0ZS5vcmcvY21zL2luZGV4LnBocC9jb21wb25lbnQvc3BsbXMvY291cnNlL3RoZS1leGVyY2lzZS1vZi1kZWZlbmNlLXJpZ2h0cy1pbi1pbnRlcm5hdGlvbmFsLWl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2017-12-12T12:20:00Z</dcterms:created>
  <dcterms:modified xsi:type="dcterms:W3CDTF">2017-12-12T12:20:00Z</dcterms:modified>
</cp:coreProperties>
</file>